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EE673E" w:rsidRDefault="00216A27" w:rsidP="00EE673E">
      <w:pPr>
        <w:spacing w:before="600" w:line="360" w:lineRule="auto"/>
        <w:jc w:val="both"/>
        <w:outlineLvl w:val="0"/>
        <w:rPr>
          <w:rFonts w:asciiTheme="minorHAnsi" w:hAnsiTheme="minorHAnsi" w:cstheme="minorHAnsi"/>
        </w:rPr>
      </w:pPr>
      <w:r w:rsidRPr="00EE673E">
        <w:rPr>
          <w:rFonts w:asciiTheme="minorHAnsi" w:hAnsiTheme="minorHAnsi" w:cstheme="minorHAnsi"/>
        </w:rPr>
        <w:t xml:space="preserve">Warszawa, data: </w:t>
      </w:r>
      <w:bookmarkStart w:id="0" w:name="ezdDataPodpisu"/>
      <w:bookmarkEnd w:id="0"/>
      <w:r w:rsidRPr="00EE673E">
        <w:rPr>
          <w:rFonts w:asciiTheme="minorHAnsi" w:hAnsiTheme="minorHAnsi" w:cstheme="minorHAnsi"/>
        </w:rPr>
        <w:t xml:space="preserve"> r.</w:t>
      </w:r>
    </w:p>
    <w:p w14:paraId="5AE5243B" w14:textId="2249DF78" w:rsidR="009B7BFF" w:rsidRPr="00EE673E" w:rsidRDefault="009B7BFF" w:rsidP="00EE673E">
      <w:pPr>
        <w:spacing w:after="120" w:line="360" w:lineRule="auto"/>
        <w:rPr>
          <w:rFonts w:asciiTheme="minorHAnsi" w:hAnsiTheme="minorHAnsi" w:cstheme="minorHAnsi"/>
        </w:rPr>
      </w:pPr>
    </w:p>
    <w:p w14:paraId="070EB4EC" w14:textId="2BFBA53E" w:rsidR="00866C09" w:rsidRPr="00EE673E" w:rsidRDefault="00D30DC2" w:rsidP="00D30DC2">
      <w:pPr>
        <w:spacing w:after="120" w:line="360" w:lineRule="auto"/>
        <w:ind w:left="2127" w:firstLine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Ogłoszenie </w:t>
      </w:r>
    </w:p>
    <w:p w14:paraId="0F4F015E" w14:textId="77777777" w:rsidR="00EE673E" w:rsidRPr="00FB3153" w:rsidRDefault="00866C09" w:rsidP="00FB3153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>Ministerstwo Funduszy i Polityki Regionalnej w Warszawie,</w:t>
      </w:r>
      <w:r w:rsidRPr="00FB31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B3153">
        <w:rPr>
          <w:rFonts w:asciiTheme="minorHAnsi" w:hAnsiTheme="minorHAnsi" w:cstheme="minorHAnsi"/>
          <w:sz w:val="22"/>
          <w:szCs w:val="22"/>
        </w:rPr>
        <w:t>z siedzibą przy ul. Wspólnej 2/4,  00-926 Warszawa,  posiada zbędny składnik majątku ruchomego</w:t>
      </w:r>
      <w:r w:rsidR="00A358E6" w:rsidRPr="00FB31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67CF95" w14:textId="6AD0E01C" w:rsidR="00D30DC2" w:rsidRPr="00D30DC2" w:rsidRDefault="00A358E6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>( załącznik nr 1)</w:t>
      </w:r>
      <w:r w:rsidR="00866C09" w:rsidRPr="00FB3153">
        <w:rPr>
          <w:rFonts w:asciiTheme="minorHAnsi" w:hAnsiTheme="minorHAnsi" w:cstheme="minorHAnsi"/>
          <w:sz w:val="22"/>
          <w:szCs w:val="22"/>
        </w:rPr>
        <w:t xml:space="preserve">, który może być przedmiotem nieodpłatnego przekazania lub darowizny na rzecz jednostek sektora finansów publicznych lub państwowych osób prawnych, które nie są jednostkami sektora finansów publicznych,  na podstawie § 7 ust. </w:t>
      </w:r>
      <w:r w:rsidR="00D30DC2">
        <w:rPr>
          <w:rFonts w:asciiTheme="minorHAnsi" w:hAnsiTheme="minorHAnsi" w:cstheme="minorHAnsi"/>
          <w:sz w:val="22"/>
          <w:szCs w:val="22"/>
        </w:rPr>
        <w:t>2</w:t>
      </w:r>
      <w:r w:rsidR="00866C09" w:rsidRPr="00FB3153">
        <w:rPr>
          <w:rFonts w:asciiTheme="minorHAnsi" w:hAnsiTheme="minorHAnsi" w:cstheme="minorHAnsi"/>
          <w:sz w:val="22"/>
          <w:szCs w:val="22"/>
        </w:rPr>
        <w:t>a R</w:t>
      </w:r>
      <w:r w:rsidR="009B7BFF" w:rsidRPr="00FB3153">
        <w:rPr>
          <w:rFonts w:asciiTheme="minorHAnsi" w:hAnsiTheme="minorHAnsi" w:cstheme="minorHAnsi"/>
          <w:sz w:val="22"/>
          <w:szCs w:val="22"/>
        </w:rPr>
        <w:t>ozporządzenia Rady Ministrów z dnia 21 października 2019 r. w sprawie szczegółowego sposobu gospodarowania składnikami rzeczowymi majątku ruchomego Skarbu Państwa (Dz. U. z 202</w:t>
      </w:r>
      <w:r w:rsidR="002A0C03" w:rsidRPr="00FB3153">
        <w:rPr>
          <w:rFonts w:asciiTheme="minorHAnsi" w:hAnsiTheme="minorHAnsi" w:cstheme="minorHAnsi"/>
          <w:sz w:val="22"/>
          <w:szCs w:val="22"/>
        </w:rPr>
        <w:t>5</w:t>
      </w:r>
      <w:r w:rsidR="009B7BFF" w:rsidRPr="00FB3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FB3153">
        <w:rPr>
          <w:rFonts w:asciiTheme="minorHAnsi" w:hAnsiTheme="minorHAnsi" w:cstheme="minorHAnsi"/>
          <w:sz w:val="22"/>
          <w:szCs w:val="22"/>
        </w:rPr>
        <w:t>2</w:t>
      </w:r>
      <w:r w:rsidR="002A0C03" w:rsidRPr="00FB3153">
        <w:rPr>
          <w:rFonts w:asciiTheme="minorHAnsi" w:hAnsiTheme="minorHAnsi" w:cstheme="minorHAnsi"/>
          <w:sz w:val="22"/>
          <w:szCs w:val="22"/>
        </w:rPr>
        <w:t>28</w:t>
      </w:r>
      <w:r w:rsidR="00CD7047" w:rsidRPr="00FB3153">
        <w:rPr>
          <w:rFonts w:asciiTheme="minorHAnsi" w:hAnsiTheme="minorHAnsi" w:cstheme="minorHAnsi"/>
          <w:sz w:val="22"/>
          <w:szCs w:val="22"/>
        </w:rPr>
        <w:t xml:space="preserve"> </w:t>
      </w:r>
      <w:r w:rsidR="009B7BFF" w:rsidRPr="00FB3153">
        <w:rPr>
          <w:rFonts w:asciiTheme="minorHAnsi" w:hAnsiTheme="minorHAnsi" w:cstheme="minorHAnsi"/>
          <w:sz w:val="22"/>
          <w:szCs w:val="22"/>
        </w:rPr>
        <w:t>)</w:t>
      </w:r>
      <w:r w:rsidR="00D30DC2">
        <w:rPr>
          <w:rFonts w:asciiTheme="minorHAnsi" w:hAnsiTheme="minorHAnsi" w:cstheme="minorHAnsi"/>
          <w:sz w:val="22"/>
          <w:szCs w:val="22"/>
        </w:rPr>
        <w:t xml:space="preserve"> </w:t>
      </w:r>
      <w:r w:rsidR="00D30DC2" w:rsidRPr="00D30DC2">
        <w:rPr>
          <w:rFonts w:asciiTheme="minorHAnsi" w:hAnsiTheme="minorHAnsi" w:cstheme="minorHAnsi"/>
          <w:sz w:val="22"/>
          <w:szCs w:val="22"/>
        </w:rPr>
        <w:t xml:space="preserve"> na rzecz:  </w:t>
      </w:r>
    </w:p>
    <w:p w14:paraId="549361DE" w14:textId="77777777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1) nieposiadającej osobowości prawnej państwowej jednostki sektora finansów publicznych,</w:t>
      </w:r>
    </w:p>
    <w:p w14:paraId="351E5A37" w14:textId="77777777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2) podmiotu leczniczego prowadzonego w formie określonej w art. 6 ust. 1, 2 lub 6</w:t>
      </w:r>
    </w:p>
    <w:p w14:paraId="6877BE47" w14:textId="2B847BF2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ustawy z dnia 15</w:t>
      </w:r>
      <w:r w:rsidR="00D1349D">
        <w:rPr>
          <w:rFonts w:asciiTheme="minorHAnsi" w:hAnsiTheme="minorHAnsi" w:cstheme="minorHAnsi"/>
          <w:sz w:val="22"/>
          <w:szCs w:val="22"/>
        </w:rPr>
        <w:t xml:space="preserve"> </w:t>
      </w:r>
      <w:r w:rsidRPr="00D30DC2">
        <w:rPr>
          <w:rFonts w:asciiTheme="minorHAnsi" w:hAnsiTheme="minorHAnsi" w:cstheme="minorHAnsi"/>
          <w:sz w:val="22"/>
          <w:szCs w:val="22"/>
        </w:rPr>
        <w:t>kwietnia 2011 r. o działalności leczniczej Dz. U. z 2024 r. poz. 799</w:t>
      </w:r>
    </w:p>
    <w:p w14:paraId="54CBA2E0" w14:textId="77777777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i 1897 oraz z 2025 r. poz. 129),</w:t>
      </w:r>
    </w:p>
    <w:p w14:paraId="23345999" w14:textId="77777777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3) podmiotu leczniczego będącego instytutem badawczym, o którym mowa w</w:t>
      </w:r>
    </w:p>
    <w:p w14:paraId="3D9B39F7" w14:textId="5B1EC5F7" w:rsidR="00866C09" w:rsidRPr="00FB3153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art. 3 ustawy z dnia</w:t>
      </w:r>
      <w:r>
        <w:rPr>
          <w:rFonts w:asciiTheme="minorHAnsi" w:hAnsiTheme="minorHAnsi" w:cstheme="minorHAnsi"/>
          <w:sz w:val="22"/>
          <w:szCs w:val="22"/>
        </w:rPr>
        <w:t xml:space="preserve"> .</w:t>
      </w:r>
      <w:r w:rsidRPr="00D30DC2">
        <w:rPr>
          <w:rFonts w:asciiTheme="minorHAnsi" w:hAnsiTheme="minorHAnsi" w:cstheme="minorHAnsi"/>
          <w:sz w:val="22"/>
          <w:szCs w:val="22"/>
        </w:rPr>
        <w:t>30 kwietnia 2010 r. o instytutach badawczych (Dz. U. z 2024 r. poz. 534)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A26D32D" w14:textId="680B063A" w:rsidR="00CD7047" w:rsidRPr="00FB3153" w:rsidRDefault="00866C09" w:rsidP="00FB3153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 xml:space="preserve">Składnik </w:t>
      </w:r>
      <w:r w:rsidR="00A358E6" w:rsidRPr="00FB3153">
        <w:rPr>
          <w:rFonts w:asciiTheme="minorHAnsi" w:hAnsiTheme="minorHAnsi" w:cstheme="minorHAnsi"/>
          <w:sz w:val="22"/>
          <w:szCs w:val="22"/>
        </w:rPr>
        <w:t xml:space="preserve">majątku można obejrzeć  w siedzibie Ministerstwa, po wcześniejszym zgłoszeniu telefonicznym, pod numerem telefonu (22) 273-83-60. </w:t>
      </w:r>
    </w:p>
    <w:p w14:paraId="2D309D1F" w14:textId="4736FBF1" w:rsidR="0020223B" w:rsidRPr="00FB3153" w:rsidRDefault="00A358E6" w:rsidP="00FB3153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>Podmioty zainteresowane nieodpłatnym przekazaniem lub darowizną  proszone są o składanie wniosków</w:t>
      </w:r>
      <w:r w:rsidR="00D30DC2" w:rsidRPr="00FB3153">
        <w:rPr>
          <w:rFonts w:asciiTheme="minorHAnsi" w:hAnsiTheme="minorHAnsi" w:cstheme="minorHAnsi"/>
          <w:sz w:val="22"/>
          <w:szCs w:val="22"/>
        </w:rPr>
        <w:t xml:space="preserve">(załącznik nr 2 ) </w:t>
      </w:r>
      <w:r w:rsidRPr="00FB3153">
        <w:rPr>
          <w:rFonts w:asciiTheme="minorHAnsi" w:hAnsiTheme="minorHAnsi" w:cstheme="minorHAnsi"/>
          <w:sz w:val="22"/>
          <w:szCs w:val="22"/>
        </w:rPr>
        <w:t xml:space="preserve"> </w:t>
      </w:r>
      <w:r w:rsidR="0020223B" w:rsidRPr="00FB3153">
        <w:rPr>
          <w:rFonts w:asciiTheme="minorHAnsi" w:hAnsiTheme="minorHAnsi" w:cstheme="minorHAnsi"/>
          <w:sz w:val="22"/>
          <w:szCs w:val="22"/>
        </w:rPr>
        <w:t xml:space="preserve">do dnia </w:t>
      </w:r>
      <w:r w:rsidR="0020223B" w:rsidRPr="00D1349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349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0223B" w:rsidRPr="00D1349D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D30DC2" w:rsidRPr="00D1349D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0223B" w:rsidRPr="00D1349D">
        <w:rPr>
          <w:rFonts w:asciiTheme="minorHAnsi" w:hAnsiTheme="minorHAnsi" w:cstheme="minorHAnsi"/>
          <w:b/>
          <w:bCs/>
          <w:sz w:val="22"/>
          <w:szCs w:val="22"/>
        </w:rPr>
        <w:t>.2025r.</w:t>
      </w:r>
      <w:r w:rsidR="0020223B" w:rsidRPr="00FB3153">
        <w:rPr>
          <w:rFonts w:asciiTheme="minorHAnsi" w:hAnsiTheme="minorHAnsi" w:cstheme="minorHAnsi"/>
          <w:sz w:val="22"/>
          <w:szCs w:val="22"/>
        </w:rPr>
        <w:t xml:space="preserve"> w formie elektronicznej na adres e-mail: SekretariatBA@mfipr.gov.pl, za pośrednictwem </w:t>
      </w:r>
      <w:r w:rsidR="00D30DC2">
        <w:rPr>
          <w:rFonts w:asciiTheme="minorHAnsi" w:hAnsiTheme="minorHAnsi" w:cstheme="minorHAnsi"/>
          <w:sz w:val="22"/>
          <w:szCs w:val="22"/>
        </w:rPr>
        <w:t xml:space="preserve"> </w:t>
      </w:r>
      <w:r w:rsidR="0020223B" w:rsidRPr="00FB3153">
        <w:rPr>
          <w:rFonts w:asciiTheme="minorHAnsi" w:hAnsiTheme="minorHAnsi" w:cstheme="minorHAnsi"/>
          <w:sz w:val="22"/>
          <w:szCs w:val="22"/>
        </w:rPr>
        <w:t xml:space="preserve">ePUAP  na adres skrzynki podawczej:  /MIR/SkrytkaESP. </w:t>
      </w:r>
    </w:p>
    <w:p w14:paraId="3D088734" w14:textId="77777777" w:rsidR="0020223B" w:rsidRPr="00FB3153" w:rsidRDefault="0020223B" w:rsidP="00FB3153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 xml:space="preserve">Adres do doręczeń elektronicznych: AE:PL-27378-80065-JJACB-24   </w:t>
      </w:r>
    </w:p>
    <w:p w14:paraId="23BDC1BF" w14:textId="6F8671AC" w:rsidR="003D4E84" w:rsidRPr="00FB3153" w:rsidRDefault="0020223B" w:rsidP="00FB3153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 xml:space="preserve">Proszę o przekazanie informacji podmiotom podległym lub nadzorowanym. </w:t>
      </w:r>
    </w:p>
    <w:p w14:paraId="53C5E7AE" w14:textId="7E56F2B8" w:rsidR="00216A27" w:rsidRPr="00FB3153" w:rsidRDefault="00216A27" w:rsidP="00FB3153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A358E6" w:rsidRPr="00FB3153">
        <w:rPr>
          <w:rFonts w:asciiTheme="minorHAnsi" w:hAnsiTheme="minorHAnsi" w:cstheme="minorHAnsi"/>
          <w:b/>
          <w:bCs/>
          <w:sz w:val="22"/>
          <w:szCs w:val="22"/>
        </w:rPr>
        <w:t>Arkadiusz Gawlik</w:t>
      </w:r>
      <w:r w:rsidRPr="00FB31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398E" w:rsidRPr="00FB3153">
        <w:rPr>
          <w:rFonts w:asciiTheme="minorHAnsi" w:hAnsiTheme="minorHAnsi" w:cstheme="minorHAnsi"/>
          <w:b/>
          <w:bCs/>
          <w:sz w:val="22"/>
          <w:szCs w:val="22"/>
        </w:rPr>
        <w:t xml:space="preserve">, nr </w:t>
      </w:r>
      <w:bookmarkStart w:id="1" w:name="_Hlk195444545"/>
      <w:r w:rsidR="00CF398E" w:rsidRPr="00FB3153">
        <w:rPr>
          <w:rFonts w:asciiTheme="minorHAnsi" w:hAnsiTheme="minorHAnsi" w:cstheme="minorHAnsi"/>
          <w:b/>
          <w:bCs/>
          <w:sz w:val="22"/>
          <w:szCs w:val="22"/>
        </w:rPr>
        <w:t>telefonu (22) 273-83-</w:t>
      </w:r>
      <w:r w:rsidR="00A358E6" w:rsidRPr="00FB3153">
        <w:rPr>
          <w:rFonts w:asciiTheme="minorHAnsi" w:hAnsiTheme="minorHAnsi" w:cstheme="minorHAnsi"/>
          <w:b/>
          <w:bCs/>
          <w:sz w:val="22"/>
          <w:szCs w:val="22"/>
        </w:rPr>
        <w:t>60</w:t>
      </w:r>
    </w:p>
    <w:bookmarkEnd w:id="1"/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F897CA9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p w14:paraId="788018A3" w14:textId="1ECB4C86" w:rsidR="00EE673E" w:rsidRDefault="00EE673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8437C34" w14:textId="77777777" w:rsidR="00FB3153" w:rsidRDefault="00FB3153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sectPr w:rsidR="00FB3153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D13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D1349D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D1349D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0BB6D1B4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2A0C03">
      <w:rPr>
        <w:rFonts w:asciiTheme="minorHAnsi" w:hAnsiTheme="minorHAnsi" w:cstheme="minorHAnsi"/>
        <w:bCs/>
      </w:rPr>
      <w:t xml:space="preserve">                                            </w:t>
    </w:r>
    <w:r w:rsidR="00BA6375">
      <w:rPr>
        <w:bCs/>
        <w:u w:val="single"/>
      </w:rPr>
      <w:t xml:space="preserve"> </w:t>
    </w:r>
    <w:r w:rsidR="002A0C03" w:rsidRPr="002A0C03">
      <w:rPr>
        <w:bCs/>
        <w:u w:val="single"/>
      </w:rPr>
      <w:t>IK 2972433</w:t>
    </w:r>
  </w:p>
  <w:p w14:paraId="10BE6F24" w14:textId="7EB1789E" w:rsidR="00B86359" w:rsidRPr="003E74E1" w:rsidRDefault="00D1349D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0223B"/>
    <w:rsid w:val="002119C9"/>
    <w:rsid w:val="00216A27"/>
    <w:rsid w:val="002A0C03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66C09"/>
    <w:rsid w:val="0088073E"/>
    <w:rsid w:val="008841B7"/>
    <w:rsid w:val="00970CEC"/>
    <w:rsid w:val="00985D69"/>
    <w:rsid w:val="009B058F"/>
    <w:rsid w:val="009B7BFF"/>
    <w:rsid w:val="00A2611B"/>
    <w:rsid w:val="00A358E6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1349D"/>
    <w:rsid w:val="00D30DC2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EE673E"/>
    <w:rsid w:val="00F01BBB"/>
    <w:rsid w:val="00F220A1"/>
    <w:rsid w:val="00F42933"/>
    <w:rsid w:val="00FA2039"/>
    <w:rsid w:val="00FB3153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247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24</cp:revision>
  <cp:lastPrinted>2024-05-24T11:39:00Z</cp:lastPrinted>
  <dcterms:created xsi:type="dcterms:W3CDTF">2024-05-27T09:59:00Z</dcterms:created>
  <dcterms:modified xsi:type="dcterms:W3CDTF">2025-06-04T11:00:00Z</dcterms:modified>
</cp:coreProperties>
</file>